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421"/>
        <w:gridCol w:w="1677"/>
        <w:gridCol w:w="1173"/>
        <w:gridCol w:w="1573"/>
        <w:gridCol w:w="16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权益类型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权益内容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银卡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金卡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铂金卡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固定权益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客票预订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座位保障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提前72H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提前48H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提前24H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值机及机场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eastAsia="zh-CN"/>
              </w:rPr>
              <w:t>优先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候补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最优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优先托运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仅限本人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本人与1名同行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本人与2名同行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专属柜台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仅限本人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本人与1名同行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本人与2名同行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额外行李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10kg/1pc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20kg/1pc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30kg/1pc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贵宾休息室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仅限本人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带1人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带2人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（两舱休息室）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部分机场快速安检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国内专属座位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国际专属座位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登机及机上服务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优先登机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仅限本人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本人与1名同行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本人与2名同行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登机口升舱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里程服务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受让人规则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每年3人次受让人变更实时生效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精英里程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里程延期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商城折扣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商城专区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售后及其它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优先接听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专线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优先中转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南航精英会员中转柜台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南航精英会员中转柜台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南航精英会员中转柜台及两舱柜台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中转酒店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银卡标准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金卡标准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两舱标准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航班不正常待遇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银卡标准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金卡标准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两舱标准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灵活权益*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客票预订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里程兑换免票保障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里程兑换升舱保障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机票券*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度假产品券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酒店券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值机及机场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国际选座券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行李券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休息室券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里程服务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退票免手续费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商城里程券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售后及其它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同日变更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非同日变更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银卡赠送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定制权益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第三方权益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便捷签证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身份彰显类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女性关爱保级权益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备注：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灵活权益为2</w:t>
      </w:r>
      <w:r>
        <w:rPr>
          <w:rFonts w:ascii="方正仿宋_GBK" w:hAnsi="方正仿宋_GBK" w:eastAsia="方正仿宋_GBK" w:cs="方正仿宋_GBK"/>
          <w:sz w:val="28"/>
          <w:szCs w:val="28"/>
        </w:rPr>
        <w:t>020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年权益包内容，金额及数量请下载南方航空app，7月2</w:t>
      </w:r>
      <w:r>
        <w:rPr>
          <w:rFonts w:ascii="方正仿宋_GBK" w:hAnsi="方正仿宋_GBK" w:eastAsia="方正仿宋_GBK" w:cs="方正仿宋_GBK"/>
          <w:sz w:val="28"/>
          <w:szCs w:val="28"/>
        </w:rPr>
        <w:t>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日解密惊喜（南方航空-我-权益）。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0540"/>
    <w:rsid w:val="3B230540"/>
    <w:rsid w:val="7E994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2020-06-28T08:55:00Z</dcterms:created>
  <dc:creator>侯珏</dc:creator>
  <cp:lastModifiedBy>侯珏</cp:lastModifiedBy>
  <dcterms:modified xsi:type="dcterms:W3CDTF">2020-06-28T08:57:14Z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